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BEC48"/>
    <w:p w14:paraId="3216F050">
      <w:pPr>
        <w:ind w:firstLine="210" w:firstLineChars="100"/>
        <w:rPr>
          <w:rFonts w:hint="default" w:eastAsiaTheme="minorEastAsia"/>
          <w:lang w:val="en-US" w:eastAsia="zh-CN"/>
        </w:rPr>
      </w:pPr>
      <w:r>
        <w:rPr>
          <w:rFonts w:hint="eastAsia"/>
          <w:lang w:val="en-US" w:eastAsia="zh-CN"/>
        </w:rPr>
        <w:t>163网易爆米花是一款自带</w:t>
      </w:r>
      <w:r>
        <w:rPr>
          <w:rFonts w:hint="default" w:eastAsiaTheme="minorEastAsia"/>
          <w:lang w:val="en-US" w:eastAsia="zh-CN"/>
        </w:rPr>
        <w:t>智能媒体库</w:t>
      </w:r>
      <w:r>
        <w:rPr>
          <w:rFonts w:hint="eastAsia"/>
          <w:lang w:val="en-US" w:eastAsia="zh-CN"/>
        </w:rPr>
        <w:t>、</w:t>
      </w:r>
      <w:r>
        <w:rPr>
          <w:rFonts w:hint="default" w:eastAsiaTheme="minorEastAsia"/>
          <w:lang w:val="en-US" w:eastAsia="zh-CN"/>
        </w:rPr>
        <w:t>全能播放器</w:t>
      </w:r>
      <w:r>
        <w:rPr>
          <w:rFonts w:hint="eastAsia"/>
          <w:lang w:val="en-US" w:eastAsia="zh-CN"/>
        </w:rPr>
        <w:t>。由163</w:t>
      </w:r>
      <w:r>
        <w:rPr>
          <w:rFonts w:hint="default" w:eastAsiaTheme="minorEastAsia"/>
          <w:lang w:val="en-US" w:eastAsia="zh-CN"/>
        </w:rPr>
        <w:t>网易资深团队倾力开发，27 年技术沉淀，诚意打磨出品——你永远可以相信网易爆米花。</w:t>
      </w:r>
    </w:p>
    <w:p w14:paraId="2D6F1FE8">
      <w:pPr>
        <w:rPr>
          <w:rFonts w:hint="default" w:eastAsiaTheme="minorEastAsia"/>
          <w:lang w:val="en-US" w:eastAsia="zh-CN"/>
        </w:rPr>
      </w:pPr>
      <w:r>
        <w:rPr>
          <w:rFonts w:hint="eastAsia"/>
          <w:lang w:val="en-US" w:eastAsia="zh-CN"/>
        </w:rPr>
        <w:t>支持</w:t>
      </w:r>
      <w:r>
        <w:rPr>
          <w:rFonts w:hint="default" w:eastAsiaTheme="minorEastAsia"/>
          <w:lang w:val="en-US" w:eastAsia="zh-CN"/>
        </w:rPr>
        <w:t>聚合影片资源，智能识别影片信息、封面海报，无需下载视频，流畅在线播放，跨平台跨设备同步，优雅打造私人影视库。</w:t>
      </w:r>
    </w:p>
    <w:p w14:paraId="7F8170A2">
      <w:pPr>
        <w:rPr>
          <w:rFonts w:hint="eastAsia"/>
          <w:lang w:val="en-US" w:eastAsia="zh-CN"/>
        </w:rPr>
      </w:pPr>
      <w:r>
        <w:rPr>
          <w:rFonts w:hint="eastAsia"/>
          <w:lang w:val="en-US" w:eastAsia="zh-CN"/>
        </w:rPr>
        <w:t>官网地址：</w:t>
      </w:r>
      <w:r>
        <w:rPr>
          <w:rFonts w:hint="eastAsia"/>
          <w:lang w:val="en-US" w:eastAsia="zh-CN"/>
        </w:rPr>
        <w:fldChar w:fldCharType="begin"/>
      </w:r>
      <w:r>
        <w:rPr>
          <w:rFonts w:hint="eastAsia"/>
          <w:lang w:val="en-US" w:eastAsia="zh-CN"/>
        </w:rPr>
        <w:instrText xml:space="preserve"> HYPERLINK "https://bmh.163.com/" </w:instrText>
      </w:r>
      <w:r>
        <w:rPr>
          <w:rFonts w:hint="eastAsia"/>
          <w:lang w:val="en-US" w:eastAsia="zh-CN"/>
        </w:rPr>
        <w:fldChar w:fldCharType="separate"/>
      </w:r>
      <w:r>
        <w:rPr>
          <w:rStyle w:val="4"/>
          <w:rFonts w:hint="eastAsia"/>
          <w:lang w:val="en-US" w:eastAsia="zh-CN"/>
        </w:rPr>
        <w:t>https://bmh.163.com/</w:t>
      </w:r>
      <w:r>
        <w:rPr>
          <w:rFonts w:hint="eastAsia"/>
          <w:lang w:val="en-US" w:eastAsia="zh-CN"/>
        </w:rPr>
        <w:fldChar w:fldCharType="end"/>
      </w:r>
    </w:p>
    <w:p w14:paraId="40A5DEF8">
      <w:r>
        <w:drawing>
          <wp:inline distT="0" distB="0" distL="114300" distR="114300">
            <wp:extent cx="5964555" cy="3564890"/>
            <wp:effectExtent l="0" t="0" r="1714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64555" cy="3564890"/>
                    </a:xfrm>
                    <a:prstGeom prst="rect">
                      <a:avLst/>
                    </a:prstGeom>
                    <a:noFill/>
                    <a:ln>
                      <a:noFill/>
                    </a:ln>
                  </pic:spPr>
                </pic:pic>
              </a:graphicData>
            </a:graphic>
          </wp:inline>
        </w:drawing>
      </w:r>
    </w:p>
    <w:p w14:paraId="29FDEA10">
      <w:pPr>
        <w:rPr>
          <w:rFonts w:hint="eastAsia"/>
          <w:lang w:val="en-US" w:eastAsia="zh-CN"/>
        </w:rPr>
      </w:pPr>
      <w:r>
        <w:rPr>
          <w:rFonts w:hint="eastAsia"/>
          <w:lang w:val="en-US" w:eastAsia="zh-CN"/>
        </w:rPr>
        <w:t>具体教程如下：</w:t>
      </w:r>
    </w:p>
    <w:p w14:paraId="3D966D8E">
      <w:pPr>
        <w:numPr>
          <w:ilvl w:val="0"/>
          <w:numId w:val="1"/>
        </w:numPr>
        <w:rPr>
          <w:rFonts w:hint="eastAsia"/>
          <w:lang w:val="en-US" w:eastAsia="zh-CN"/>
        </w:rPr>
      </w:pPr>
      <w:r>
        <w:rPr>
          <w:rFonts w:hint="eastAsia"/>
          <w:lang w:val="en-US" w:eastAsia="zh-CN"/>
        </w:rPr>
        <w:t>群晖NAS开启WEBDAV</w:t>
      </w:r>
    </w:p>
    <w:p w14:paraId="1D943648">
      <w:pPr>
        <w:numPr>
          <w:ilvl w:val="0"/>
          <w:numId w:val="0"/>
        </w:numPr>
      </w:pPr>
      <w:r>
        <w:rPr>
          <w:rFonts w:hint="eastAsia"/>
          <w:lang w:val="en-US" w:eastAsia="zh-CN"/>
        </w:rPr>
        <w:t xml:space="preserve">    </w:t>
      </w:r>
      <w:r>
        <w:drawing>
          <wp:inline distT="0" distB="0" distL="114300" distR="114300">
            <wp:extent cx="5238115" cy="2842260"/>
            <wp:effectExtent l="0" t="0" r="63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38115" cy="2842260"/>
                    </a:xfrm>
                    <a:prstGeom prst="rect">
                      <a:avLst/>
                    </a:prstGeom>
                    <a:noFill/>
                    <a:ln>
                      <a:noFill/>
                    </a:ln>
                  </pic:spPr>
                </pic:pic>
              </a:graphicData>
            </a:graphic>
          </wp:inline>
        </w:drawing>
      </w:r>
    </w:p>
    <w:p w14:paraId="744071AF">
      <w:pPr>
        <w:numPr>
          <w:ilvl w:val="0"/>
          <w:numId w:val="0"/>
        </w:numPr>
      </w:pPr>
      <w:r>
        <w:drawing>
          <wp:inline distT="0" distB="0" distL="114300" distR="114300">
            <wp:extent cx="5328285" cy="3011805"/>
            <wp:effectExtent l="0" t="0" r="571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28285" cy="3011805"/>
                    </a:xfrm>
                    <a:prstGeom prst="rect">
                      <a:avLst/>
                    </a:prstGeom>
                    <a:noFill/>
                    <a:ln>
                      <a:noFill/>
                    </a:ln>
                  </pic:spPr>
                </pic:pic>
              </a:graphicData>
            </a:graphic>
          </wp:inline>
        </w:drawing>
      </w:r>
    </w:p>
    <w:p w14:paraId="7E764408">
      <w:pPr>
        <w:numPr>
          <w:ilvl w:val="0"/>
          <w:numId w:val="0"/>
        </w:numPr>
        <w:rPr>
          <w:rFonts w:hint="default"/>
          <w:lang w:val="en-US" w:eastAsia="zh-CN"/>
        </w:rPr>
      </w:pPr>
      <w:r>
        <w:rPr>
          <w:rFonts w:hint="eastAsia"/>
          <w:lang w:val="en-US" w:eastAsia="zh-CN"/>
        </w:rPr>
        <w:t>二、配置DDNS（详细参考DDNS配置，可采用群晖自带的DDNS，也可以套件安装DDNS GO套件，配置阿里云域名）。假如只内网使用则无需配置DDNS，所有应用的地址填内网IP地址即可。</w:t>
      </w:r>
      <w:bookmarkStart w:id="0" w:name="_GoBack"/>
      <w:bookmarkEnd w:id="0"/>
    </w:p>
    <w:p w14:paraId="73F6D9D5">
      <w:pPr>
        <w:numPr>
          <w:ilvl w:val="0"/>
          <w:numId w:val="0"/>
        </w:numPr>
        <w:rPr>
          <w:rFonts w:hint="default"/>
          <w:lang w:val="en-US" w:eastAsia="zh-CN"/>
        </w:rPr>
      </w:pPr>
      <w:r>
        <w:drawing>
          <wp:inline distT="0" distB="0" distL="114300" distR="114300">
            <wp:extent cx="5676265" cy="3375025"/>
            <wp:effectExtent l="0" t="0" r="63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76265" cy="3375025"/>
                    </a:xfrm>
                    <a:prstGeom prst="rect">
                      <a:avLst/>
                    </a:prstGeom>
                    <a:noFill/>
                    <a:ln>
                      <a:noFill/>
                    </a:ln>
                  </pic:spPr>
                </pic:pic>
              </a:graphicData>
            </a:graphic>
          </wp:inline>
        </w:drawing>
      </w:r>
    </w:p>
    <w:p w14:paraId="39E67814">
      <w:pPr>
        <w:numPr>
          <w:ilvl w:val="0"/>
          <w:numId w:val="0"/>
        </w:numPr>
        <w:rPr>
          <w:rFonts w:hint="eastAsia"/>
          <w:lang w:val="en-US" w:eastAsia="zh-CN"/>
        </w:rPr>
      </w:pPr>
      <w:r>
        <w:rPr>
          <w:rFonts w:hint="eastAsia"/>
          <w:lang w:val="en-US" w:eastAsia="zh-CN"/>
        </w:rPr>
        <w:t>注：没有公网IPV4地址的停用IPV4，启动外部IPV6地址</w:t>
      </w:r>
    </w:p>
    <w:p w14:paraId="48A0062A">
      <w:pPr>
        <w:numPr>
          <w:ilvl w:val="0"/>
          <w:numId w:val="0"/>
        </w:numPr>
        <w:rPr>
          <w:rFonts w:hint="eastAsia"/>
          <w:lang w:val="en-US" w:eastAsia="zh-CN"/>
        </w:rPr>
      </w:pPr>
      <w:r>
        <w:rPr>
          <w:rFonts w:hint="eastAsia"/>
          <w:lang w:val="en-US" w:eastAsia="zh-CN"/>
        </w:rPr>
        <w:t>三、路由器配置IPV4端口转发</w:t>
      </w:r>
    </w:p>
    <w:p w14:paraId="5A56CC12">
      <w:pPr>
        <w:numPr>
          <w:ilvl w:val="0"/>
          <w:numId w:val="0"/>
        </w:numPr>
      </w:pPr>
    </w:p>
    <w:p w14:paraId="56FE6E41">
      <w:pPr>
        <w:numPr>
          <w:ilvl w:val="0"/>
          <w:numId w:val="0"/>
        </w:numPr>
      </w:pPr>
      <w:r>
        <w:drawing>
          <wp:inline distT="0" distB="0" distL="114300" distR="114300">
            <wp:extent cx="5166995" cy="3691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t="12521"/>
                    <a:stretch>
                      <a:fillRect/>
                    </a:stretch>
                  </pic:blipFill>
                  <pic:spPr>
                    <a:xfrm>
                      <a:off x="0" y="0"/>
                      <a:ext cx="5166995" cy="3691255"/>
                    </a:xfrm>
                    <a:prstGeom prst="rect">
                      <a:avLst/>
                    </a:prstGeom>
                    <a:noFill/>
                    <a:ln>
                      <a:noFill/>
                    </a:ln>
                  </pic:spPr>
                </pic:pic>
              </a:graphicData>
            </a:graphic>
          </wp:inline>
        </w:drawing>
      </w:r>
    </w:p>
    <w:p w14:paraId="1A899E22">
      <w:pPr>
        <w:numPr>
          <w:ilvl w:val="0"/>
          <w:numId w:val="2"/>
        </w:numPr>
        <w:rPr>
          <w:rFonts w:hint="eastAsia"/>
          <w:lang w:val="en-US" w:eastAsia="zh-CN"/>
        </w:rPr>
      </w:pPr>
      <w:r>
        <w:rPr>
          <w:rFonts w:hint="eastAsia"/>
          <w:lang w:val="en-US" w:eastAsia="zh-CN"/>
        </w:rPr>
        <w:t>采用IPV6的路由器配置关闭IPV6防火墙（需要开启超级用户权限登陆，可以找宽带运营商装维技术人员获取，也可以在闲鱼找专人获取用户名密码）</w:t>
      </w:r>
    </w:p>
    <w:p w14:paraId="55D5981C">
      <w:pPr>
        <w:numPr>
          <w:ilvl w:val="0"/>
          <w:numId w:val="0"/>
        </w:numPr>
      </w:pPr>
      <w:r>
        <w:drawing>
          <wp:inline distT="0" distB="0" distL="114300" distR="114300">
            <wp:extent cx="5207000" cy="2220595"/>
            <wp:effectExtent l="0" t="0" r="1270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07000" cy="2220595"/>
                    </a:xfrm>
                    <a:prstGeom prst="rect">
                      <a:avLst/>
                    </a:prstGeom>
                    <a:noFill/>
                    <a:ln>
                      <a:noFill/>
                    </a:ln>
                  </pic:spPr>
                </pic:pic>
              </a:graphicData>
            </a:graphic>
          </wp:inline>
        </w:drawing>
      </w:r>
    </w:p>
    <w:p w14:paraId="34F2C0D7">
      <w:pPr>
        <w:numPr>
          <w:ilvl w:val="0"/>
          <w:numId w:val="0"/>
        </w:numPr>
        <w:rPr>
          <w:rFonts w:hint="default"/>
          <w:lang w:val="en-US" w:eastAsia="zh-CN"/>
        </w:rPr>
      </w:pPr>
    </w:p>
    <w:p w14:paraId="4E06D134">
      <w:pPr>
        <w:numPr>
          <w:ilvl w:val="0"/>
          <w:numId w:val="0"/>
        </w:numPr>
        <w:rPr>
          <w:rFonts w:hint="default"/>
          <w:lang w:val="en-US" w:eastAsia="zh-CN"/>
        </w:rPr>
      </w:pPr>
      <w:r>
        <w:rPr>
          <w:rFonts w:hint="eastAsia"/>
          <w:lang w:val="en-US" w:eastAsia="zh-CN"/>
        </w:rPr>
        <w:t>五、配置电影目录，在群晖共享目录中新建任意共享目录作为电影存储目录，对观影用户只设置只读权限，上传电影可以采用有读写权限的用户在电脑或其他手机等下载电影再上传。</w:t>
      </w:r>
    </w:p>
    <w:p w14:paraId="3360A147">
      <w:pPr>
        <w:numPr>
          <w:ilvl w:val="0"/>
          <w:numId w:val="0"/>
        </w:numPr>
      </w:pPr>
      <w:r>
        <w:drawing>
          <wp:inline distT="0" distB="0" distL="114300" distR="114300">
            <wp:extent cx="5927090" cy="3514090"/>
            <wp:effectExtent l="0" t="0" r="1651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927090" cy="3514090"/>
                    </a:xfrm>
                    <a:prstGeom prst="rect">
                      <a:avLst/>
                    </a:prstGeom>
                    <a:noFill/>
                    <a:ln>
                      <a:noFill/>
                    </a:ln>
                  </pic:spPr>
                </pic:pic>
              </a:graphicData>
            </a:graphic>
          </wp:inline>
        </w:drawing>
      </w:r>
    </w:p>
    <w:p w14:paraId="03EEF16D">
      <w:pPr>
        <w:numPr>
          <w:ilvl w:val="0"/>
          <w:numId w:val="0"/>
        </w:numPr>
        <w:rPr>
          <w:rFonts w:hint="eastAsia"/>
          <w:lang w:val="en-US" w:eastAsia="zh-CN"/>
        </w:rPr>
      </w:pPr>
      <w:r>
        <w:rPr>
          <w:rFonts w:hint="eastAsia"/>
          <w:lang w:val="en-US" w:eastAsia="zh-CN"/>
        </w:rPr>
        <w:t>六、开启观影用户可以使用WEBDAV访问权限</w:t>
      </w:r>
    </w:p>
    <w:p w14:paraId="518CCCAC">
      <w:pPr>
        <w:numPr>
          <w:ilvl w:val="0"/>
          <w:numId w:val="0"/>
        </w:numPr>
      </w:pPr>
      <w:r>
        <w:drawing>
          <wp:inline distT="0" distB="0" distL="114300" distR="114300">
            <wp:extent cx="5986145" cy="3348355"/>
            <wp:effectExtent l="0" t="0" r="1460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986145" cy="3348355"/>
                    </a:xfrm>
                    <a:prstGeom prst="rect">
                      <a:avLst/>
                    </a:prstGeom>
                    <a:noFill/>
                    <a:ln>
                      <a:noFill/>
                    </a:ln>
                  </pic:spPr>
                </pic:pic>
              </a:graphicData>
            </a:graphic>
          </wp:inline>
        </w:drawing>
      </w:r>
    </w:p>
    <w:p w14:paraId="47228CBE">
      <w:pPr>
        <w:numPr>
          <w:ilvl w:val="0"/>
          <w:numId w:val="0"/>
        </w:numPr>
      </w:pPr>
      <w:r>
        <w:drawing>
          <wp:inline distT="0" distB="0" distL="114300" distR="114300">
            <wp:extent cx="5425440" cy="3498215"/>
            <wp:effectExtent l="0" t="0" r="381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425440" cy="3498215"/>
                    </a:xfrm>
                    <a:prstGeom prst="rect">
                      <a:avLst/>
                    </a:prstGeom>
                    <a:noFill/>
                    <a:ln>
                      <a:noFill/>
                    </a:ln>
                  </pic:spPr>
                </pic:pic>
              </a:graphicData>
            </a:graphic>
          </wp:inline>
        </w:drawing>
      </w:r>
    </w:p>
    <w:p w14:paraId="2483694D">
      <w:pPr>
        <w:numPr>
          <w:ilvl w:val="0"/>
          <w:numId w:val="0"/>
        </w:numPr>
        <w:rPr>
          <w:rFonts w:hint="eastAsia"/>
          <w:lang w:val="en-US" w:eastAsia="zh-CN"/>
        </w:rPr>
      </w:pPr>
      <w:r>
        <w:rPr>
          <w:rFonts w:hint="eastAsia"/>
          <w:lang w:val="en-US" w:eastAsia="zh-CN"/>
        </w:rPr>
        <w:t>七、群晖电影目录上传电影规则为普通单集电影及字幕文件放到电影共享目录的根目录下面，电视剧放到电影共享目录下新建一个与这个电视剧相同名字的目录下面，每一季第一集的命名规则为 电影名字.s01e01.mpg 、</w:t>
      </w:r>
      <w:r>
        <w:rPr>
          <w:rFonts w:hint="eastAsia" w:asciiTheme="minorHAnsi" w:eastAsiaTheme="minorEastAsia"/>
          <w:lang w:val="en-US" w:eastAsia="zh-CN"/>
        </w:rPr>
        <w:t>电影名字.s0</w:t>
      </w:r>
      <w:r>
        <w:rPr>
          <w:rFonts w:hint="eastAsia"/>
          <w:lang w:val="en-US" w:eastAsia="zh-CN"/>
        </w:rPr>
        <w:t>1</w:t>
      </w:r>
      <w:r>
        <w:rPr>
          <w:rFonts w:hint="eastAsia" w:asciiTheme="minorHAnsi" w:eastAsiaTheme="minorEastAsia"/>
          <w:lang w:val="en-US" w:eastAsia="zh-CN"/>
        </w:rPr>
        <w:t>e0</w:t>
      </w:r>
      <w:r>
        <w:rPr>
          <w:rFonts w:hint="eastAsia"/>
          <w:lang w:val="en-US" w:eastAsia="zh-CN"/>
        </w:rPr>
        <w:t>2</w:t>
      </w:r>
      <w:r>
        <w:rPr>
          <w:rFonts w:hint="eastAsia" w:asciiTheme="minorHAnsi" w:eastAsiaTheme="minorEastAsia"/>
          <w:lang w:val="en-US" w:eastAsia="zh-CN"/>
        </w:rPr>
        <w:t>.mpg</w:t>
      </w:r>
      <w:r>
        <w:rPr>
          <w:rFonts w:hint="eastAsia"/>
          <w:lang w:val="en-US" w:eastAsia="zh-CN"/>
        </w:rPr>
        <w:t xml:space="preserve"> ，其中电影名字就是这个电视剧的名字，s01代表第一季，e01代表第一集，采用这种规则命令之后会合并相同电视剧到第一季，第二季，并分集显示，自动播放下一集。</w:t>
      </w:r>
    </w:p>
    <w:p w14:paraId="260E7BA0">
      <w:pPr>
        <w:numPr>
          <w:ilvl w:val="0"/>
          <w:numId w:val="0"/>
        </w:numPr>
      </w:pPr>
      <w:r>
        <w:drawing>
          <wp:inline distT="0" distB="0" distL="114300" distR="114300">
            <wp:extent cx="5431155" cy="4874895"/>
            <wp:effectExtent l="0" t="0" r="171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431155" cy="4874895"/>
                    </a:xfrm>
                    <a:prstGeom prst="rect">
                      <a:avLst/>
                    </a:prstGeom>
                    <a:noFill/>
                    <a:ln>
                      <a:noFill/>
                    </a:ln>
                  </pic:spPr>
                </pic:pic>
              </a:graphicData>
            </a:graphic>
          </wp:inline>
        </w:drawing>
      </w:r>
    </w:p>
    <w:p w14:paraId="219147CC">
      <w:pPr>
        <w:numPr>
          <w:ilvl w:val="0"/>
          <w:numId w:val="0"/>
        </w:numPr>
      </w:pPr>
    </w:p>
    <w:p w14:paraId="0DFE2D96">
      <w:pPr>
        <w:numPr>
          <w:ilvl w:val="0"/>
          <w:numId w:val="0"/>
        </w:numPr>
      </w:pPr>
      <w:r>
        <w:drawing>
          <wp:inline distT="0" distB="0" distL="114300" distR="114300">
            <wp:extent cx="4619625" cy="64008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619625" cy="6400800"/>
                    </a:xfrm>
                    <a:prstGeom prst="rect">
                      <a:avLst/>
                    </a:prstGeom>
                    <a:noFill/>
                    <a:ln>
                      <a:noFill/>
                    </a:ln>
                  </pic:spPr>
                </pic:pic>
              </a:graphicData>
            </a:graphic>
          </wp:inline>
        </w:drawing>
      </w:r>
    </w:p>
    <w:p w14:paraId="0C921E47">
      <w:pPr>
        <w:numPr>
          <w:ilvl w:val="0"/>
          <w:numId w:val="0"/>
        </w:numPr>
        <w:rPr>
          <w:rFonts w:hint="default"/>
          <w:lang w:val="en-US" w:eastAsia="zh-CN"/>
        </w:rPr>
      </w:pPr>
    </w:p>
    <w:p w14:paraId="0FADB9B0">
      <w:pPr>
        <w:numPr>
          <w:ilvl w:val="0"/>
          <w:numId w:val="0"/>
        </w:numPr>
        <w:rPr>
          <w:rFonts w:hint="eastAsia" w:asciiTheme="minorHAnsi" w:eastAsiaTheme="minorEastAsia"/>
          <w:lang w:val="en-US" w:eastAsia="zh-CN"/>
        </w:rPr>
      </w:pPr>
      <w:r>
        <w:rPr>
          <w:rFonts w:hint="eastAsia" w:asciiTheme="minorHAnsi" w:eastAsiaTheme="minorEastAsia"/>
          <w:lang w:val="en-US" w:eastAsia="zh-CN"/>
        </w:rPr>
        <w:t>八、</w:t>
      </w:r>
      <w:r>
        <w:rPr>
          <w:rFonts w:hint="eastAsia"/>
          <w:lang w:val="en-US" w:eastAsia="zh-CN"/>
        </w:rPr>
        <w:t>从官网下载</w:t>
      </w:r>
      <w:r>
        <w:rPr>
          <w:rFonts w:hint="eastAsia" w:asciiTheme="minorHAnsi" w:eastAsiaTheme="minorEastAsia"/>
          <w:lang w:val="en-US" w:eastAsia="zh-CN"/>
        </w:rPr>
        <w:t>下载相应</w:t>
      </w:r>
      <w:r>
        <w:rPr>
          <w:rFonts w:hint="eastAsia"/>
          <w:lang w:val="en-US" w:eastAsia="zh-CN"/>
        </w:rPr>
        <w:t>手机或IPAD</w:t>
      </w:r>
      <w:r>
        <w:rPr>
          <w:rFonts w:hint="eastAsia" w:asciiTheme="minorHAnsi" w:eastAsiaTheme="minorEastAsia"/>
          <w:lang w:val="en-US" w:eastAsia="zh-CN"/>
        </w:rPr>
        <w:t>的APP，安装网易爆米花。ttps://bmh.163.com/</w:t>
      </w:r>
    </w:p>
    <w:p w14:paraId="33D780B4">
      <w:pPr>
        <w:numPr>
          <w:ilvl w:val="0"/>
          <w:numId w:val="0"/>
        </w:numPr>
        <w:rPr>
          <w:rFonts w:hint="eastAsia" w:asciiTheme="minorHAnsi" w:eastAsiaTheme="minorEastAsia"/>
          <w:lang w:val="en-US" w:eastAsia="zh-CN"/>
        </w:rPr>
      </w:pPr>
    </w:p>
    <w:p w14:paraId="669D70E0">
      <w:pPr>
        <w:numPr>
          <w:ilvl w:val="0"/>
          <w:numId w:val="0"/>
        </w:numPr>
      </w:pPr>
      <w:r>
        <w:drawing>
          <wp:inline distT="0" distB="0" distL="114300" distR="114300">
            <wp:extent cx="5095875" cy="3074035"/>
            <wp:effectExtent l="0" t="0" r="9525"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095875" cy="3074035"/>
                    </a:xfrm>
                    <a:prstGeom prst="rect">
                      <a:avLst/>
                    </a:prstGeom>
                    <a:noFill/>
                    <a:ln>
                      <a:noFill/>
                    </a:ln>
                  </pic:spPr>
                </pic:pic>
              </a:graphicData>
            </a:graphic>
          </wp:inline>
        </w:drawing>
      </w:r>
    </w:p>
    <w:p w14:paraId="216AF52C">
      <w:pPr>
        <w:numPr>
          <w:ilvl w:val="0"/>
          <w:numId w:val="0"/>
        </w:numPr>
      </w:pPr>
    </w:p>
    <w:p w14:paraId="11F8035E">
      <w:pPr>
        <w:numPr>
          <w:ilvl w:val="0"/>
          <w:numId w:val="0"/>
        </w:numPr>
        <w:rPr>
          <w:rFonts w:hint="eastAsia"/>
          <w:lang w:val="en-US" w:eastAsia="zh-CN"/>
        </w:rPr>
      </w:pPr>
      <w:r>
        <w:rPr>
          <w:rFonts w:hint="eastAsia"/>
          <w:lang w:val="en-US" w:eastAsia="zh-CN"/>
        </w:rPr>
        <w:t>九、安装好之后打开APP进行配置</w:t>
      </w:r>
    </w:p>
    <w:p w14:paraId="24CF7DDA">
      <w:pPr>
        <w:numPr>
          <w:ilvl w:val="0"/>
          <w:numId w:val="0"/>
        </w:numPr>
      </w:pPr>
      <w:r>
        <w:drawing>
          <wp:inline distT="0" distB="0" distL="114300" distR="114300">
            <wp:extent cx="3120390" cy="6980555"/>
            <wp:effectExtent l="0" t="0" r="381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120390" cy="6980555"/>
                    </a:xfrm>
                    <a:prstGeom prst="rect">
                      <a:avLst/>
                    </a:prstGeom>
                    <a:noFill/>
                    <a:ln>
                      <a:noFill/>
                    </a:ln>
                  </pic:spPr>
                </pic:pic>
              </a:graphicData>
            </a:graphic>
          </wp:inline>
        </w:drawing>
      </w:r>
    </w:p>
    <w:p w14:paraId="1B2D87B1">
      <w:pPr>
        <w:numPr>
          <w:ilvl w:val="0"/>
          <w:numId w:val="0"/>
        </w:numPr>
      </w:pPr>
      <w:r>
        <w:drawing>
          <wp:inline distT="0" distB="0" distL="114300" distR="114300">
            <wp:extent cx="3533775" cy="81057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533775" cy="8105775"/>
                    </a:xfrm>
                    <a:prstGeom prst="rect">
                      <a:avLst/>
                    </a:prstGeom>
                    <a:noFill/>
                    <a:ln>
                      <a:noFill/>
                    </a:ln>
                  </pic:spPr>
                </pic:pic>
              </a:graphicData>
            </a:graphic>
          </wp:inline>
        </w:drawing>
      </w:r>
    </w:p>
    <w:p w14:paraId="22FE3706">
      <w:pPr>
        <w:numPr>
          <w:ilvl w:val="0"/>
          <w:numId w:val="0"/>
        </w:numPr>
        <w:rPr>
          <w:rFonts w:hint="default"/>
          <w:lang w:val="en-US" w:eastAsia="zh-CN"/>
        </w:rPr>
      </w:pPr>
      <w:r>
        <w:drawing>
          <wp:inline distT="0" distB="0" distL="114300" distR="114300">
            <wp:extent cx="3533775" cy="8115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533775" cy="8115300"/>
                    </a:xfrm>
                    <a:prstGeom prst="rect">
                      <a:avLst/>
                    </a:prstGeom>
                    <a:noFill/>
                    <a:ln>
                      <a:noFill/>
                    </a:ln>
                  </pic:spPr>
                </pic:pic>
              </a:graphicData>
            </a:graphic>
          </wp:inline>
        </w:drawing>
      </w:r>
    </w:p>
    <w:p w14:paraId="083FAEC4">
      <w:pPr>
        <w:numPr>
          <w:ilvl w:val="0"/>
          <w:numId w:val="0"/>
        </w:numPr>
        <w:rPr>
          <w:rFonts w:hint="default"/>
          <w:lang w:val="en-US" w:eastAsia="zh-CN"/>
        </w:rPr>
      </w:pPr>
    </w:p>
    <w:p w14:paraId="5B655A78">
      <w:pPr>
        <w:numPr>
          <w:ilvl w:val="0"/>
          <w:numId w:val="0"/>
        </w:numPr>
      </w:pPr>
      <w:r>
        <w:drawing>
          <wp:inline distT="0" distB="0" distL="114300" distR="114300">
            <wp:extent cx="3781425" cy="44291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781425" cy="4429125"/>
                    </a:xfrm>
                    <a:prstGeom prst="rect">
                      <a:avLst/>
                    </a:prstGeom>
                    <a:noFill/>
                    <a:ln>
                      <a:noFill/>
                    </a:ln>
                  </pic:spPr>
                </pic:pic>
              </a:graphicData>
            </a:graphic>
          </wp:inline>
        </w:drawing>
      </w:r>
    </w:p>
    <w:p w14:paraId="317D02C5">
      <w:pPr>
        <w:numPr>
          <w:ilvl w:val="0"/>
          <w:numId w:val="0"/>
        </w:numPr>
      </w:pPr>
      <w:r>
        <w:drawing>
          <wp:inline distT="0" distB="0" distL="114300" distR="114300">
            <wp:extent cx="3619500" cy="7686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3619500" cy="7686675"/>
                    </a:xfrm>
                    <a:prstGeom prst="rect">
                      <a:avLst/>
                    </a:prstGeom>
                    <a:noFill/>
                    <a:ln>
                      <a:noFill/>
                    </a:ln>
                  </pic:spPr>
                </pic:pic>
              </a:graphicData>
            </a:graphic>
          </wp:inline>
        </w:drawing>
      </w:r>
    </w:p>
    <w:p w14:paraId="048A32EE">
      <w:pPr>
        <w:numPr>
          <w:ilvl w:val="0"/>
          <w:numId w:val="0"/>
        </w:numPr>
      </w:pPr>
      <w:r>
        <w:drawing>
          <wp:inline distT="0" distB="0" distL="114300" distR="114300">
            <wp:extent cx="3695700" cy="8191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3695700" cy="8191500"/>
                    </a:xfrm>
                    <a:prstGeom prst="rect">
                      <a:avLst/>
                    </a:prstGeom>
                    <a:noFill/>
                    <a:ln>
                      <a:noFill/>
                    </a:ln>
                  </pic:spPr>
                </pic:pic>
              </a:graphicData>
            </a:graphic>
          </wp:inline>
        </w:drawing>
      </w:r>
    </w:p>
    <w:p w14:paraId="30EC5355">
      <w:pPr>
        <w:numPr>
          <w:ilvl w:val="0"/>
          <w:numId w:val="0"/>
        </w:numPr>
      </w:pPr>
    </w:p>
    <w:p w14:paraId="67E11876">
      <w:pPr>
        <w:numPr>
          <w:ilvl w:val="0"/>
          <w:numId w:val="0"/>
        </w:numPr>
      </w:pPr>
    </w:p>
    <w:p w14:paraId="31880C24">
      <w:pPr>
        <w:numPr>
          <w:ilvl w:val="0"/>
          <w:numId w:val="0"/>
        </w:numPr>
        <w:rPr>
          <w:rFonts w:hint="default" w:asciiTheme="minorHAnsi" w:eastAsiaTheme="minorEastAsia"/>
          <w:lang w:val="en-US" w:eastAsia="zh-CN"/>
        </w:rPr>
      </w:pPr>
      <w:r>
        <w:rPr>
          <w:rFonts w:hint="eastAsia"/>
          <w:lang w:val="en-US" w:eastAsia="zh-CN"/>
        </w:rPr>
        <w:t>九</w:t>
      </w:r>
      <w:r>
        <w:rPr>
          <w:rFonts w:hint="eastAsia" w:asciiTheme="minorHAnsi" w:eastAsiaTheme="minorEastAsia"/>
          <w:lang w:val="en-US" w:eastAsia="zh-CN"/>
        </w:rPr>
        <w:t>、</w:t>
      </w:r>
      <w:r>
        <w:rPr>
          <w:rFonts w:hint="eastAsia"/>
          <w:lang w:val="en-US" w:eastAsia="zh-CN"/>
        </w:rPr>
        <w:t>智能电视下载Andiroid TV版到一个U盘，将U盘插入电视USB接品，找到USB目录安装APP，第一次进入扫码即可同步手机的帐号及资源。Aplle TV盒子下载相应DMG文件，安装到TV盒子即可，扫码进入。</w:t>
      </w:r>
    </w:p>
    <w:p w14:paraId="45DA5243">
      <w:pPr>
        <w:numPr>
          <w:ilvl w:val="0"/>
          <w:numId w:val="0"/>
        </w:numPr>
      </w:pPr>
      <w:r>
        <w:drawing>
          <wp:inline distT="0" distB="0" distL="114300" distR="114300">
            <wp:extent cx="5095875" cy="3074035"/>
            <wp:effectExtent l="0" t="0" r="9525"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095875" cy="3074035"/>
                    </a:xfrm>
                    <a:prstGeom prst="rect">
                      <a:avLst/>
                    </a:prstGeom>
                    <a:noFill/>
                    <a:ln>
                      <a:noFill/>
                    </a:ln>
                  </pic:spPr>
                </pic:pic>
              </a:graphicData>
            </a:graphic>
          </wp:inline>
        </w:drawing>
      </w:r>
    </w:p>
    <w:p w14:paraId="4F56D311">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431647"/>
    <w:multiLevelType w:val="singleLevel"/>
    <w:tmpl w:val="06431647"/>
    <w:lvl w:ilvl="0" w:tentative="0">
      <w:start w:val="4"/>
      <w:numFmt w:val="chineseCounting"/>
      <w:suff w:val="nothing"/>
      <w:lvlText w:val="%1、"/>
      <w:lvlJc w:val="left"/>
      <w:rPr>
        <w:rFonts w:hint="eastAsia"/>
      </w:rPr>
    </w:lvl>
  </w:abstractNum>
  <w:abstractNum w:abstractNumId="1">
    <w:nsid w:val="2034296F"/>
    <w:multiLevelType w:val="singleLevel"/>
    <w:tmpl w:val="2034296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446DD2"/>
    <w:rsid w:val="1F3A7C84"/>
    <w:rsid w:val="28310D82"/>
    <w:rsid w:val="3A744576"/>
    <w:rsid w:val="3E5308B3"/>
    <w:rsid w:val="434B5F61"/>
    <w:rsid w:val="478D50CA"/>
    <w:rsid w:val="4D8F0657"/>
    <w:rsid w:val="4DC70A17"/>
    <w:rsid w:val="6424789E"/>
    <w:rsid w:val="655A454E"/>
    <w:rsid w:val="6E1D3F64"/>
    <w:rsid w:val="6E475368"/>
    <w:rsid w:val="7F951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2</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2025-05-24T14:17:00Z</dcterms:created>
  <dc:creator>Administrator</dc:creator>
  <cp:lastModifiedBy>Administrator</cp:lastModifiedBy>
  <dcterms:modified xsi:type="dcterms:W3CDTF">2025-06-13T17:56:47Z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DCA4FBE0CF1642689C2732E5797AC15A_12</vt:lpwstr>
  </property>
</Properties>
</file>